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255C3" w14:textId="0A87246B" w:rsidR="005847DF" w:rsidRPr="00390679" w:rsidRDefault="00390679" w:rsidP="00390679">
      <w:pPr>
        <w:jc w:val="center"/>
        <w:rPr>
          <w:rFonts w:ascii="Times New Roman" w:hAnsi="Times New Roman" w:cs="Times New Roman"/>
          <w:sz w:val="24"/>
          <w:szCs w:val="24"/>
        </w:rPr>
      </w:pPr>
      <w:r w:rsidRPr="00390679">
        <w:rPr>
          <w:rFonts w:ascii="Times New Roman" w:hAnsi="Times New Roman" w:cs="Times New Roman"/>
          <w:sz w:val="24"/>
          <w:szCs w:val="24"/>
        </w:rPr>
        <w:t xml:space="preserve">Division:  </w:t>
      </w:r>
      <w:r w:rsidR="00215096">
        <w:rPr>
          <w:rFonts w:ascii="Times New Roman" w:hAnsi="Times New Roman" w:cs="Times New Roman"/>
          <w:sz w:val="24"/>
          <w:szCs w:val="24"/>
        </w:rPr>
        <w:t>T</w:t>
      </w:r>
      <w:r w:rsidRPr="00390679">
        <w:rPr>
          <w:rFonts w:ascii="Times New Roman" w:hAnsi="Times New Roman" w:cs="Times New Roman"/>
          <w:sz w:val="24"/>
          <w:szCs w:val="24"/>
        </w:rPr>
        <w:t xml:space="preserve">E </w:t>
      </w:r>
      <w:r w:rsidR="00215096">
        <w:rPr>
          <w:rFonts w:ascii="Times New Roman" w:hAnsi="Times New Roman" w:cs="Times New Roman"/>
          <w:sz w:val="24"/>
          <w:szCs w:val="24"/>
        </w:rPr>
        <w:t>B</w:t>
      </w:r>
      <w:r w:rsidRPr="00390679">
        <w:rPr>
          <w:rFonts w:ascii="Times New Roman" w:hAnsi="Times New Roman" w:cs="Times New Roman"/>
          <w:sz w:val="24"/>
          <w:szCs w:val="24"/>
        </w:rPr>
        <w:t xml:space="preserve">     Subject: </w:t>
      </w:r>
      <w:r w:rsidR="00215096">
        <w:rPr>
          <w:rFonts w:ascii="Times New Roman" w:hAnsi="Times New Roman" w:cs="Times New Roman"/>
          <w:sz w:val="24"/>
          <w:szCs w:val="24"/>
        </w:rPr>
        <w:t>Heat Transfer A.Y</w:t>
      </w:r>
      <w:bookmarkStart w:id="0" w:name="_GoBack"/>
      <w:bookmarkEnd w:id="0"/>
      <w:r w:rsidR="00215096">
        <w:rPr>
          <w:rFonts w:ascii="Times New Roman" w:hAnsi="Times New Roman" w:cs="Times New Roman"/>
          <w:sz w:val="24"/>
          <w:szCs w:val="24"/>
        </w:rPr>
        <w:t>:</w:t>
      </w:r>
      <w:r w:rsidR="00046443">
        <w:rPr>
          <w:rFonts w:ascii="Times New Roman" w:hAnsi="Times New Roman" w:cs="Times New Roman"/>
          <w:sz w:val="24"/>
          <w:szCs w:val="24"/>
        </w:rPr>
        <w:t xml:space="preserve"> 2019-20</w:t>
      </w:r>
    </w:p>
    <w:p w14:paraId="2EE063B7" w14:textId="28FF6C34" w:rsidR="00390679" w:rsidRDefault="00390679" w:rsidP="00390679">
      <w:pPr>
        <w:jc w:val="center"/>
        <w:rPr>
          <w:sz w:val="24"/>
          <w:szCs w:val="24"/>
        </w:rPr>
      </w:pPr>
      <w:r w:rsidRPr="00390679">
        <w:rPr>
          <w:sz w:val="24"/>
          <w:szCs w:val="24"/>
        </w:rPr>
        <w:t>Syllabus Term Test</w:t>
      </w:r>
    </w:p>
    <w:p w14:paraId="69E6E273" w14:textId="2E2D12C4" w:rsidR="00390679" w:rsidRDefault="00390679" w:rsidP="00390679">
      <w:pPr>
        <w:jc w:val="center"/>
        <w:rPr>
          <w:sz w:val="24"/>
          <w:szCs w:val="24"/>
        </w:rPr>
      </w:pPr>
      <w:r>
        <w:rPr>
          <w:sz w:val="24"/>
          <w:szCs w:val="24"/>
        </w:rPr>
        <w:t>Term Test 01</w:t>
      </w:r>
    </w:p>
    <w:tbl>
      <w:tblPr>
        <w:tblStyle w:val="TableGrid"/>
        <w:tblW w:w="10537" w:type="dxa"/>
        <w:tblInd w:w="-478" w:type="dxa"/>
        <w:tblLook w:val="04A0" w:firstRow="1" w:lastRow="0" w:firstColumn="1" w:lastColumn="0" w:noHBand="0" w:noVBand="1"/>
      </w:tblPr>
      <w:tblGrid>
        <w:gridCol w:w="1154"/>
        <w:gridCol w:w="9383"/>
      </w:tblGrid>
      <w:tr w:rsidR="00390679" w14:paraId="0FA8565E" w14:textId="77777777" w:rsidTr="00390679">
        <w:trPr>
          <w:trHeight w:val="265"/>
        </w:trPr>
        <w:tc>
          <w:tcPr>
            <w:tcW w:w="1154" w:type="dxa"/>
          </w:tcPr>
          <w:p w14:paraId="0CD17A6F" w14:textId="3E72FF15" w:rsidR="00390679" w:rsidRDefault="00390679" w:rsidP="00390679">
            <w:pPr>
              <w:tabs>
                <w:tab w:val="center" w:pos="2146"/>
                <w:tab w:val="left" w:pos="3108"/>
              </w:tabs>
              <w:rPr>
                <w:sz w:val="24"/>
                <w:szCs w:val="24"/>
              </w:rPr>
            </w:pPr>
            <w:r>
              <w:rPr>
                <w:sz w:val="24"/>
                <w:szCs w:val="24"/>
              </w:rPr>
              <w:t xml:space="preserve">Module </w:t>
            </w:r>
          </w:p>
        </w:tc>
        <w:tc>
          <w:tcPr>
            <w:tcW w:w="9383" w:type="dxa"/>
          </w:tcPr>
          <w:p w14:paraId="5B52B9A2" w14:textId="5FFB35C8" w:rsidR="00390679" w:rsidRDefault="00390679" w:rsidP="00390679">
            <w:pPr>
              <w:rPr>
                <w:sz w:val="24"/>
                <w:szCs w:val="24"/>
              </w:rPr>
            </w:pPr>
            <w:r>
              <w:rPr>
                <w:sz w:val="24"/>
                <w:szCs w:val="24"/>
              </w:rPr>
              <w:t>Syllabus</w:t>
            </w:r>
          </w:p>
        </w:tc>
      </w:tr>
      <w:tr w:rsidR="00390679" w14:paraId="31FB01E2" w14:textId="77777777" w:rsidTr="00215096">
        <w:trPr>
          <w:trHeight w:val="2239"/>
        </w:trPr>
        <w:tc>
          <w:tcPr>
            <w:tcW w:w="1154" w:type="dxa"/>
          </w:tcPr>
          <w:p w14:paraId="480617CF" w14:textId="36B58D14" w:rsidR="00390679" w:rsidRDefault="00390679" w:rsidP="00390679">
            <w:pPr>
              <w:jc w:val="center"/>
              <w:rPr>
                <w:sz w:val="24"/>
                <w:szCs w:val="24"/>
              </w:rPr>
            </w:pPr>
            <w:r>
              <w:rPr>
                <w:sz w:val="24"/>
                <w:szCs w:val="24"/>
              </w:rPr>
              <w:t>01</w:t>
            </w:r>
          </w:p>
        </w:tc>
        <w:tc>
          <w:tcPr>
            <w:tcW w:w="9383" w:type="dxa"/>
          </w:tcPr>
          <w:p w14:paraId="2CCC3ADD" w14:textId="7BE74831" w:rsidR="00390679" w:rsidRPr="00390679" w:rsidRDefault="00215096" w:rsidP="00390679">
            <w:pPr>
              <w:jc w:val="both"/>
              <w:rPr>
                <w:rFonts w:ascii="Times New Roman" w:hAnsi="Times New Roman" w:cs="Times New Roman"/>
                <w:sz w:val="24"/>
                <w:szCs w:val="24"/>
              </w:rPr>
            </w:pPr>
            <w:r w:rsidRPr="00215096">
              <w:rPr>
                <w:rFonts w:ascii="Times New Roman" w:hAnsi="Times New Roman" w:cs="Times New Roman"/>
                <w:sz w:val="24"/>
                <w:szCs w:val="24"/>
              </w:rPr>
              <w:t>Basic concepts of heat transfer: Define heat transfer and its importance in engineering applications, Difference between heat transfer and Thermodynamics, Physical Mechanism of modes of heat transfer, Governing laws of heat transfer, Conduction mode: Thermal conductivity, Thermal diffusivity, Convection mode: Free and Forced convection, Heat transfer Coefficient, Radiation mode: Emissivity, transmissivity, reflectivity, absorptivity, Black body, Grey body, Opaque body, Steady and unsteady heat transfer, One dimensional, two dimensional and three dimensional heat transfer, Thermal resistance concept in heat transfer, Thermal contact resistance</w:t>
            </w:r>
          </w:p>
        </w:tc>
      </w:tr>
      <w:tr w:rsidR="00390679" w14:paraId="5D92F7EB" w14:textId="77777777" w:rsidTr="00215096">
        <w:trPr>
          <w:trHeight w:val="1549"/>
        </w:trPr>
        <w:tc>
          <w:tcPr>
            <w:tcW w:w="1154" w:type="dxa"/>
          </w:tcPr>
          <w:p w14:paraId="05840D87" w14:textId="5106D144" w:rsidR="00390679" w:rsidRDefault="00390679" w:rsidP="00390679">
            <w:pPr>
              <w:jc w:val="center"/>
              <w:rPr>
                <w:sz w:val="24"/>
                <w:szCs w:val="24"/>
              </w:rPr>
            </w:pPr>
            <w:r>
              <w:rPr>
                <w:sz w:val="24"/>
                <w:szCs w:val="24"/>
              </w:rPr>
              <w:t>02</w:t>
            </w:r>
          </w:p>
        </w:tc>
        <w:tc>
          <w:tcPr>
            <w:tcW w:w="9383" w:type="dxa"/>
          </w:tcPr>
          <w:p w14:paraId="3607A007" w14:textId="23FED82F" w:rsidR="00390679" w:rsidRPr="00390679" w:rsidRDefault="00215096" w:rsidP="00390679">
            <w:pPr>
              <w:jc w:val="both"/>
              <w:rPr>
                <w:rFonts w:ascii="Times New Roman" w:hAnsi="Times New Roman" w:cs="Times New Roman"/>
                <w:sz w:val="24"/>
                <w:szCs w:val="24"/>
              </w:rPr>
            </w:pPr>
            <w:r w:rsidRPr="00215096">
              <w:rPr>
                <w:rFonts w:ascii="Times New Roman" w:hAnsi="Times New Roman" w:cs="Times New Roman"/>
                <w:sz w:val="24"/>
                <w:szCs w:val="24"/>
              </w:rPr>
              <w:t>Conduction: Assumptions in heat conduction, Generalized heat conduction equation in rectangular, cylindrical coordinates, Initial and boundary conditions, Steady state heat conduction through plane wall, Composite wall, cylinder, composite cylinder wall, sphere, Internal Heat generation concept, Heat conduction with heat generation in plane wall, solid cylinder and solid  sphere, Critical radius of insulation in cylinder and sphere</w:t>
            </w:r>
          </w:p>
        </w:tc>
      </w:tr>
      <w:tr w:rsidR="00390679" w14:paraId="65467461" w14:textId="77777777" w:rsidTr="00390679">
        <w:trPr>
          <w:trHeight w:val="1272"/>
        </w:trPr>
        <w:tc>
          <w:tcPr>
            <w:tcW w:w="1154" w:type="dxa"/>
          </w:tcPr>
          <w:p w14:paraId="6A3DE83B" w14:textId="16C66860" w:rsidR="00390679" w:rsidRDefault="00390679" w:rsidP="00390679">
            <w:pPr>
              <w:jc w:val="center"/>
              <w:rPr>
                <w:sz w:val="24"/>
                <w:szCs w:val="24"/>
              </w:rPr>
            </w:pPr>
            <w:r>
              <w:rPr>
                <w:sz w:val="24"/>
                <w:szCs w:val="24"/>
              </w:rPr>
              <w:t>03</w:t>
            </w:r>
          </w:p>
        </w:tc>
        <w:tc>
          <w:tcPr>
            <w:tcW w:w="9383" w:type="dxa"/>
          </w:tcPr>
          <w:p w14:paraId="640314EB" w14:textId="7FE9AAC4" w:rsidR="00390679" w:rsidRPr="00390679" w:rsidRDefault="00215096" w:rsidP="00390679">
            <w:pPr>
              <w:jc w:val="both"/>
              <w:rPr>
                <w:rFonts w:ascii="Times New Roman" w:hAnsi="Times New Roman" w:cs="Times New Roman"/>
                <w:sz w:val="24"/>
                <w:szCs w:val="24"/>
              </w:rPr>
            </w:pPr>
            <w:r w:rsidRPr="00215096">
              <w:rPr>
                <w:rFonts w:ascii="Times New Roman" w:hAnsi="Times New Roman" w:cs="Times New Roman"/>
                <w:sz w:val="24"/>
                <w:szCs w:val="24"/>
              </w:rPr>
              <w:t xml:space="preserve">Heat transfer from Extended Surface: Types of extended surface and its significance, Governing differential equation for fin and its solution, Fin performance: Fin effectiveness and Fin efficiency, Thermo Well Unsteady state heat transfer: Applications of unsteady state heat transfer, Lumped system Analysis, Criteria for lumped system analysis: characteristic length, </w:t>
            </w:r>
            <w:proofErr w:type="spellStart"/>
            <w:r w:rsidRPr="00215096">
              <w:rPr>
                <w:rFonts w:ascii="Times New Roman" w:hAnsi="Times New Roman" w:cs="Times New Roman"/>
                <w:sz w:val="24"/>
                <w:szCs w:val="24"/>
              </w:rPr>
              <w:t>Biot</w:t>
            </w:r>
            <w:proofErr w:type="spellEnd"/>
            <w:r w:rsidRPr="00215096">
              <w:rPr>
                <w:rFonts w:ascii="Times New Roman" w:hAnsi="Times New Roman" w:cs="Times New Roman"/>
                <w:sz w:val="24"/>
                <w:szCs w:val="24"/>
              </w:rPr>
              <w:t xml:space="preserve"> Number, Thermal time constant and Response of a thermocouple, Heisler Charts Numerical methods in heat </w:t>
            </w:r>
            <w:proofErr w:type="spellStart"/>
            <w:r w:rsidRPr="00215096">
              <w:rPr>
                <w:rFonts w:ascii="Times New Roman" w:hAnsi="Times New Roman" w:cs="Times New Roman"/>
                <w:sz w:val="24"/>
                <w:szCs w:val="24"/>
              </w:rPr>
              <w:t>transfer:Significance</w:t>
            </w:r>
            <w:proofErr w:type="spellEnd"/>
            <w:r w:rsidRPr="00215096">
              <w:rPr>
                <w:rFonts w:ascii="Times New Roman" w:hAnsi="Times New Roman" w:cs="Times New Roman"/>
                <w:sz w:val="24"/>
                <w:szCs w:val="24"/>
              </w:rPr>
              <w:t xml:space="preserve"> of numerical methods in heat transfer, Finite difference formulation of differential equations, One-dimensional heat conduction.</w:t>
            </w:r>
          </w:p>
        </w:tc>
      </w:tr>
    </w:tbl>
    <w:p w14:paraId="569C70E1" w14:textId="1235B3E9" w:rsidR="00390679" w:rsidRDefault="00390679" w:rsidP="00390679">
      <w:pPr>
        <w:jc w:val="center"/>
        <w:rPr>
          <w:sz w:val="24"/>
          <w:szCs w:val="24"/>
        </w:rPr>
      </w:pPr>
    </w:p>
    <w:p w14:paraId="3143A8CB" w14:textId="7292D458" w:rsidR="00390679" w:rsidRDefault="00390679" w:rsidP="00390679">
      <w:pPr>
        <w:jc w:val="center"/>
        <w:rPr>
          <w:sz w:val="24"/>
          <w:szCs w:val="24"/>
        </w:rPr>
      </w:pPr>
      <w:r>
        <w:rPr>
          <w:sz w:val="24"/>
          <w:szCs w:val="24"/>
        </w:rPr>
        <w:t>Term Test 02</w:t>
      </w:r>
    </w:p>
    <w:tbl>
      <w:tblPr>
        <w:tblStyle w:val="TableGrid"/>
        <w:tblW w:w="10537" w:type="dxa"/>
        <w:tblInd w:w="-478" w:type="dxa"/>
        <w:tblLook w:val="04A0" w:firstRow="1" w:lastRow="0" w:firstColumn="1" w:lastColumn="0" w:noHBand="0" w:noVBand="1"/>
      </w:tblPr>
      <w:tblGrid>
        <w:gridCol w:w="1154"/>
        <w:gridCol w:w="9383"/>
      </w:tblGrid>
      <w:tr w:rsidR="00390679" w14:paraId="073CD8AF" w14:textId="77777777" w:rsidTr="00F17AC9">
        <w:trPr>
          <w:trHeight w:val="265"/>
        </w:trPr>
        <w:tc>
          <w:tcPr>
            <w:tcW w:w="1154" w:type="dxa"/>
          </w:tcPr>
          <w:p w14:paraId="26A7173B" w14:textId="77777777" w:rsidR="00390679" w:rsidRDefault="00390679" w:rsidP="00F17AC9">
            <w:pPr>
              <w:tabs>
                <w:tab w:val="center" w:pos="2146"/>
                <w:tab w:val="left" w:pos="3108"/>
              </w:tabs>
              <w:rPr>
                <w:sz w:val="24"/>
                <w:szCs w:val="24"/>
              </w:rPr>
            </w:pPr>
            <w:r>
              <w:rPr>
                <w:sz w:val="24"/>
                <w:szCs w:val="24"/>
              </w:rPr>
              <w:t xml:space="preserve">Module </w:t>
            </w:r>
          </w:p>
        </w:tc>
        <w:tc>
          <w:tcPr>
            <w:tcW w:w="9383" w:type="dxa"/>
          </w:tcPr>
          <w:p w14:paraId="73330467" w14:textId="77777777" w:rsidR="00390679" w:rsidRDefault="00390679" w:rsidP="00F17AC9">
            <w:pPr>
              <w:rPr>
                <w:sz w:val="24"/>
                <w:szCs w:val="24"/>
              </w:rPr>
            </w:pPr>
            <w:r>
              <w:rPr>
                <w:sz w:val="24"/>
                <w:szCs w:val="24"/>
              </w:rPr>
              <w:t>Syllabus</w:t>
            </w:r>
          </w:p>
        </w:tc>
      </w:tr>
      <w:tr w:rsidR="00390679" w14:paraId="28FF91FE" w14:textId="77777777" w:rsidTr="00390679">
        <w:trPr>
          <w:trHeight w:val="1792"/>
        </w:trPr>
        <w:tc>
          <w:tcPr>
            <w:tcW w:w="1154" w:type="dxa"/>
          </w:tcPr>
          <w:p w14:paraId="44516F64" w14:textId="4A4972C3" w:rsidR="00390679" w:rsidRDefault="00390679" w:rsidP="00F17AC9">
            <w:pPr>
              <w:jc w:val="center"/>
              <w:rPr>
                <w:sz w:val="24"/>
                <w:szCs w:val="24"/>
              </w:rPr>
            </w:pPr>
            <w:r>
              <w:rPr>
                <w:sz w:val="24"/>
                <w:szCs w:val="24"/>
              </w:rPr>
              <w:t>04</w:t>
            </w:r>
          </w:p>
        </w:tc>
        <w:tc>
          <w:tcPr>
            <w:tcW w:w="9383" w:type="dxa"/>
          </w:tcPr>
          <w:p w14:paraId="032B238D" w14:textId="08FA50ED" w:rsidR="00390679" w:rsidRPr="00390679" w:rsidRDefault="00215096" w:rsidP="00F17AC9">
            <w:pPr>
              <w:jc w:val="both"/>
              <w:rPr>
                <w:rFonts w:ascii="Times New Roman" w:hAnsi="Times New Roman" w:cs="Times New Roman"/>
                <w:sz w:val="24"/>
                <w:szCs w:val="24"/>
              </w:rPr>
            </w:pPr>
            <w:r w:rsidRPr="00215096">
              <w:rPr>
                <w:rFonts w:ascii="Times New Roman" w:hAnsi="Times New Roman" w:cs="Times New Roman"/>
                <w:sz w:val="24"/>
                <w:szCs w:val="24"/>
              </w:rPr>
              <w:t>Convection:</w:t>
            </w:r>
            <w:r>
              <w:rPr>
                <w:rFonts w:ascii="Times New Roman" w:hAnsi="Times New Roman" w:cs="Times New Roman"/>
                <w:sz w:val="24"/>
                <w:szCs w:val="24"/>
              </w:rPr>
              <w:t xml:space="preserve"> </w:t>
            </w:r>
            <w:r w:rsidRPr="00215096">
              <w:rPr>
                <w:rFonts w:ascii="Times New Roman" w:hAnsi="Times New Roman" w:cs="Times New Roman"/>
                <w:sz w:val="24"/>
                <w:szCs w:val="24"/>
              </w:rPr>
              <w:t xml:space="preserve">Determination of heat transfer coefficient, Dimensional Analysis, Dimensionless numbers in free and forced convection and their significance External </w:t>
            </w:r>
            <w:proofErr w:type="spellStart"/>
            <w:r w:rsidRPr="00215096">
              <w:rPr>
                <w:rFonts w:ascii="Times New Roman" w:hAnsi="Times New Roman" w:cs="Times New Roman"/>
                <w:sz w:val="24"/>
                <w:szCs w:val="24"/>
              </w:rPr>
              <w:t>Flow:Velocity</w:t>
            </w:r>
            <w:proofErr w:type="spellEnd"/>
            <w:r w:rsidRPr="00215096">
              <w:rPr>
                <w:rFonts w:ascii="Times New Roman" w:hAnsi="Times New Roman" w:cs="Times New Roman"/>
                <w:sz w:val="24"/>
                <w:szCs w:val="24"/>
              </w:rPr>
              <w:t xml:space="preserve"> Boundary layer and Thermal Boundary layer, Laminar and turbulent flow over a flat plate, Flow across cylinder and sphere, Flow across bank of tubes Internal </w:t>
            </w:r>
            <w:proofErr w:type="spellStart"/>
            <w:r w:rsidRPr="00215096">
              <w:rPr>
                <w:rFonts w:ascii="Times New Roman" w:hAnsi="Times New Roman" w:cs="Times New Roman"/>
                <w:sz w:val="24"/>
                <w:szCs w:val="24"/>
              </w:rPr>
              <w:t>Flow:Velocity</w:t>
            </w:r>
            <w:proofErr w:type="spellEnd"/>
            <w:r w:rsidRPr="00215096">
              <w:rPr>
                <w:rFonts w:ascii="Times New Roman" w:hAnsi="Times New Roman" w:cs="Times New Roman"/>
                <w:sz w:val="24"/>
                <w:szCs w:val="24"/>
              </w:rPr>
              <w:t xml:space="preserve"> Boundary layer and Thermal Boundary layer, Laminar and Turbulent flow in tubes, General thermal analysis: Constant heat flux and constant surface temperature</w:t>
            </w:r>
          </w:p>
        </w:tc>
      </w:tr>
      <w:tr w:rsidR="00390679" w14:paraId="6954976C" w14:textId="77777777" w:rsidTr="00390679">
        <w:trPr>
          <w:trHeight w:val="557"/>
        </w:trPr>
        <w:tc>
          <w:tcPr>
            <w:tcW w:w="1154" w:type="dxa"/>
          </w:tcPr>
          <w:p w14:paraId="6F9098D6" w14:textId="53296E4C" w:rsidR="00390679" w:rsidRDefault="00390679" w:rsidP="00F17AC9">
            <w:pPr>
              <w:jc w:val="center"/>
              <w:rPr>
                <w:sz w:val="24"/>
                <w:szCs w:val="24"/>
              </w:rPr>
            </w:pPr>
            <w:r>
              <w:rPr>
                <w:sz w:val="24"/>
                <w:szCs w:val="24"/>
              </w:rPr>
              <w:t>05</w:t>
            </w:r>
          </w:p>
        </w:tc>
        <w:tc>
          <w:tcPr>
            <w:tcW w:w="9383" w:type="dxa"/>
          </w:tcPr>
          <w:p w14:paraId="1944393D" w14:textId="05FF52BE" w:rsidR="00390679" w:rsidRPr="00390679" w:rsidRDefault="00215096" w:rsidP="00F17AC9">
            <w:pPr>
              <w:jc w:val="both"/>
              <w:rPr>
                <w:rFonts w:ascii="Times New Roman" w:hAnsi="Times New Roman" w:cs="Times New Roman"/>
                <w:sz w:val="24"/>
                <w:szCs w:val="24"/>
              </w:rPr>
            </w:pPr>
            <w:r w:rsidRPr="00215096">
              <w:rPr>
                <w:rFonts w:ascii="Times New Roman" w:hAnsi="Times New Roman" w:cs="Times New Roman"/>
                <w:sz w:val="24"/>
                <w:szCs w:val="24"/>
              </w:rPr>
              <w:t>Radiation:</w:t>
            </w:r>
            <w:r>
              <w:rPr>
                <w:rFonts w:ascii="Times New Roman" w:hAnsi="Times New Roman" w:cs="Times New Roman"/>
                <w:sz w:val="24"/>
                <w:szCs w:val="24"/>
              </w:rPr>
              <w:t xml:space="preserve"> </w:t>
            </w:r>
            <w:r w:rsidRPr="00215096">
              <w:rPr>
                <w:rFonts w:ascii="Times New Roman" w:hAnsi="Times New Roman" w:cs="Times New Roman"/>
                <w:sz w:val="24"/>
                <w:szCs w:val="24"/>
              </w:rPr>
              <w:t>Basic laws of radiation, Black body radiation, Planck’s law, Kirchhoff’s law, Wein displacement law, Lambert cosine law, Radiation intensity, Radiation heat exchange between black bodies, Shape factor algebra, Radiation heat exchange between nonblack bodies, Electrical network approach for radiation heat exchange: Radiosity and irradiation, Radiation shield</w:t>
            </w:r>
          </w:p>
        </w:tc>
      </w:tr>
      <w:tr w:rsidR="00390679" w14:paraId="5BF9700E" w14:textId="77777777" w:rsidTr="00F17AC9">
        <w:trPr>
          <w:trHeight w:val="1272"/>
        </w:trPr>
        <w:tc>
          <w:tcPr>
            <w:tcW w:w="1154" w:type="dxa"/>
          </w:tcPr>
          <w:p w14:paraId="6D420843" w14:textId="1FB2C472" w:rsidR="00390679" w:rsidRDefault="00390679" w:rsidP="00F17AC9">
            <w:pPr>
              <w:jc w:val="center"/>
              <w:rPr>
                <w:sz w:val="24"/>
                <w:szCs w:val="24"/>
              </w:rPr>
            </w:pPr>
            <w:r>
              <w:rPr>
                <w:sz w:val="24"/>
                <w:szCs w:val="24"/>
              </w:rPr>
              <w:t>06</w:t>
            </w:r>
          </w:p>
        </w:tc>
        <w:tc>
          <w:tcPr>
            <w:tcW w:w="9383" w:type="dxa"/>
          </w:tcPr>
          <w:p w14:paraId="1943E01D" w14:textId="77C3E7FF" w:rsidR="00390679" w:rsidRPr="00390679" w:rsidRDefault="00215096" w:rsidP="00F17AC9">
            <w:pPr>
              <w:jc w:val="both"/>
              <w:rPr>
                <w:rFonts w:ascii="Times New Roman" w:hAnsi="Times New Roman" w:cs="Times New Roman"/>
                <w:sz w:val="24"/>
                <w:szCs w:val="24"/>
              </w:rPr>
            </w:pPr>
            <w:r w:rsidRPr="00215096">
              <w:rPr>
                <w:rFonts w:ascii="Times New Roman" w:hAnsi="Times New Roman" w:cs="Times New Roman"/>
                <w:sz w:val="24"/>
                <w:szCs w:val="24"/>
              </w:rPr>
              <w:t>Boiling and Condensation:</w:t>
            </w:r>
            <w:r>
              <w:rPr>
                <w:rFonts w:ascii="Times New Roman" w:hAnsi="Times New Roman" w:cs="Times New Roman"/>
                <w:sz w:val="24"/>
                <w:szCs w:val="24"/>
              </w:rPr>
              <w:t xml:space="preserve"> </w:t>
            </w:r>
            <w:r w:rsidRPr="00215096">
              <w:rPr>
                <w:rFonts w:ascii="Times New Roman" w:hAnsi="Times New Roman" w:cs="Times New Roman"/>
                <w:sz w:val="24"/>
                <w:szCs w:val="24"/>
              </w:rPr>
              <w:t>Boiling heat transfer, Pool boiling: different regimes and pool boiling curve, Flow boiling: Different Regimes and Boiling curve, Condensation heat transfer, Film condensation, Dropwise Condensation Heat Exchangers:</w:t>
            </w:r>
            <w:r>
              <w:rPr>
                <w:rFonts w:ascii="Times New Roman" w:hAnsi="Times New Roman" w:cs="Times New Roman"/>
                <w:sz w:val="24"/>
                <w:szCs w:val="24"/>
              </w:rPr>
              <w:t xml:space="preserve"> </w:t>
            </w:r>
            <w:r w:rsidRPr="00215096">
              <w:rPr>
                <w:rFonts w:ascii="Times New Roman" w:hAnsi="Times New Roman" w:cs="Times New Roman"/>
                <w:sz w:val="24"/>
                <w:szCs w:val="24"/>
              </w:rPr>
              <w:t>Types of heat exchangers, Overall heat transfer coefficient, Fouling factor, Analysis of heat exchangers, LMTD, Effectiveness –NTU method, Correction factor, Effectiveness of heat exchangers Heat Pipe: Introduction and application</w:t>
            </w:r>
          </w:p>
        </w:tc>
      </w:tr>
    </w:tbl>
    <w:p w14:paraId="05E9196D" w14:textId="77777777" w:rsidR="00390679" w:rsidRPr="00390679" w:rsidRDefault="00390679" w:rsidP="00390679">
      <w:pPr>
        <w:jc w:val="center"/>
        <w:rPr>
          <w:sz w:val="24"/>
          <w:szCs w:val="24"/>
        </w:rPr>
      </w:pPr>
    </w:p>
    <w:sectPr w:rsidR="00390679" w:rsidRPr="00390679">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23C55" w14:textId="77777777" w:rsidR="00E37BCA" w:rsidRDefault="00E37BCA" w:rsidP="00390679">
      <w:pPr>
        <w:spacing w:after="0" w:line="240" w:lineRule="auto"/>
      </w:pPr>
      <w:r>
        <w:separator/>
      </w:r>
    </w:p>
  </w:endnote>
  <w:endnote w:type="continuationSeparator" w:id="0">
    <w:p w14:paraId="04AEC266" w14:textId="77777777" w:rsidR="00E37BCA" w:rsidRDefault="00E37BCA" w:rsidP="00390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F3F16" w14:textId="77777777" w:rsidR="00E37BCA" w:rsidRDefault="00E37BCA" w:rsidP="00390679">
      <w:pPr>
        <w:spacing w:after="0" w:line="240" w:lineRule="auto"/>
      </w:pPr>
      <w:r>
        <w:separator/>
      </w:r>
    </w:p>
  </w:footnote>
  <w:footnote w:type="continuationSeparator" w:id="0">
    <w:p w14:paraId="1015DD09" w14:textId="77777777" w:rsidR="00E37BCA" w:rsidRDefault="00E37BCA" w:rsidP="00390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A09FA" w14:textId="6E9D5058" w:rsidR="00390679" w:rsidRPr="00390679" w:rsidRDefault="00390679" w:rsidP="00390679">
    <w:pPr>
      <w:pStyle w:val="Header"/>
      <w:jc w:val="center"/>
      <w:rPr>
        <w:rFonts w:ascii="Times New Roman" w:hAnsi="Times New Roman" w:cs="Times New Roman"/>
        <w:sz w:val="24"/>
        <w:szCs w:val="24"/>
      </w:rPr>
    </w:pPr>
    <w:r w:rsidRPr="00390679">
      <w:rPr>
        <w:rFonts w:ascii="Times New Roman" w:hAnsi="Times New Roman" w:cs="Times New Roman"/>
        <w:sz w:val="24"/>
        <w:szCs w:val="24"/>
      </w:rPr>
      <w:t>VCET Vasai</w:t>
    </w:r>
  </w:p>
  <w:p w14:paraId="242032B0" w14:textId="50229D98" w:rsidR="00390679" w:rsidRPr="00390679" w:rsidRDefault="00390679" w:rsidP="00390679">
    <w:pPr>
      <w:pStyle w:val="Header"/>
      <w:jc w:val="center"/>
      <w:rPr>
        <w:rFonts w:ascii="Times New Roman" w:hAnsi="Times New Roman" w:cs="Times New Roman"/>
        <w:sz w:val="24"/>
        <w:szCs w:val="24"/>
      </w:rPr>
    </w:pPr>
    <w:r w:rsidRPr="00390679">
      <w:rPr>
        <w:rFonts w:ascii="Times New Roman" w:hAnsi="Times New Roman" w:cs="Times New Roman"/>
        <w:sz w:val="24"/>
        <w:szCs w:val="24"/>
      </w:rPr>
      <w:t>Department of Mechanical Engineering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019"/>
    <w:rsid w:val="00046443"/>
    <w:rsid w:val="00215096"/>
    <w:rsid w:val="00390679"/>
    <w:rsid w:val="00506019"/>
    <w:rsid w:val="005847DF"/>
    <w:rsid w:val="00E2043C"/>
    <w:rsid w:val="00E37B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A4E5B"/>
  <w15:chartTrackingRefBased/>
  <w15:docId w15:val="{B52346E3-307F-4241-9A31-536FE999B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6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679"/>
  </w:style>
  <w:style w:type="paragraph" w:styleId="Footer">
    <w:name w:val="footer"/>
    <w:basedOn w:val="Normal"/>
    <w:link w:val="FooterChar"/>
    <w:uiPriority w:val="99"/>
    <w:unhideWhenUsed/>
    <w:rsid w:val="003906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679"/>
  </w:style>
  <w:style w:type="table" w:styleId="TableGrid">
    <w:name w:val="Table Grid"/>
    <w:basedOn w:val="TableNormal"/>
    <w:uiPriority w:val="39"/>
    <w:rsid w:val="00390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481</Words>
  <Characters>2747</Characters>
  <Application>Microsoft Office Word</Application>
  <DocSecurity>0</DocSecurity>
  <Lines>22</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Kamlesh Bachkar</dc:creator>
  <cp:keywords/>
  <dc:description/>
  <cp:lastModifiedBy>Kamlesh Bachkar</cp:lastModifiedBy>
  <cp:revision>4</cp:revision>
  <dcterms:created xsi:type="dcterms:W3CDTF">2019-07-26T11:30:00Z</dcterms:created>
  <dcterms:modified xsi:type="dcterms:W3CDTF">2019-07-26T11:44:00Z</dcterms:modified>
</cp:coreProperties>
</file>